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工作总结人社局工作总结今年以来，在市委市政府、区委区政府的坚强领导和上级业务部门的精心指导下，我局坚持“民生为本，人才优先”的工作主线，以抓创业促就业，不断扩宽社会保障覆盖面，积极构建和谐劳动关系，稳步推进人事制度改革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2024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3、提高城镇居民基本医疗保险待遇。2024年再次提高我县城镇居民医疗保险报销标准。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4、严格政策，稳慎实施我县事业单位聘任工作。坚持“把握政策、尊重现实、分步实施、完善机制”的原则，2024年将对*年以来取得资格的未聘人员实行按岗聘任。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5、重新核定基础性绩效工资标准。根据绩效工资实施方案的要求和事业单位绩效工资总量的变化，2024年重新核定基础性绩效工资标准。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2024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2024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