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土木工程专业实训报告5000字</w:t>
      </w:r>
      <w:bookmarkEnd w:id="1"/>
    </w:p>
    <w:p>
      <w:pPr>
        <w:jc w:val="center"/>
        <w:spacing w:before="0" w:after="450"/>
      </w:pPr>
      <w:r>
        <w:rPr>
          <w:rFonts w:ascii="Arial" w:hAnsi="Arial" w:eastAsia="Arial" w:cs="Arial"/>
          <w:color w:val="999999"/>
          <w:sz w:val="20"/>
          <w:szCs w:val="20"/>
        </w:rPr>
        <w:t xml:space="preserve">来源：网络  作者：海棠云影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土木工程专业实训报告5000字一.前言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w:t>
      </w:r>
    </w:p>
    <w:p>
      <w:pPr>
        <w:ind w:left="0" w:right="0" w:firstLine="560"/>
        <w:spacing w:before="450" w:after="450" w:line="312" w:lineRule="auto"/>
      </w:pPr>
      <w:r>
        <w:rPr>
          <w:rFonts w:ascii="宋体" w:hAnsi="宋体" w:eastAsia="宋体" w:cs="宋体"/>
          <w:color w:val="000"/>
          <w:sz w:val="28"/>
          <w:szCs w:val="28"/>
        </w:rPr>
        <w:t xml:space="preserve">土木工程专业实训报告5000字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建筑面积：6317.20㎡(其中地下室面积792.90㎡，阳台面积54.75㎡，阁楼面积423.4㎡)计划开工日期：2024.5(因某些原因迟迟未开工)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砌体和脚手架工程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4.梁钢筋绑扎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w:t>
      </w:r>
    </w:p>
    <w:p>
      <w:pPr>
        <w:ind w:left="0" w:right="0" w:firstLine="560"/>
        <w:spacing w:before="450" w:after="450" w:line="312" w:lineRule="auto"/>
      </w:pPr>
      <w:r>
        <w:rPr>
          <w:rFonts w:ascii="宋体" w:hAnsi="宋体" w:eastAsia="宋体" w:cs="宋体"/>
          <w:color w:val="000"/>
          <w:sz w:val="28"/>
          <w:szCs w:val="28"/>
        </w:rPr>
        <w:t xml:space="preserve">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梁、板底模拆除：梁、板跨度在2m以内时，混凝土强度达到设计强度的50%;2-8米范围内时，其强度达到设计强度的75%;大于8m的混凝土必须达到设计强度的100%时方可拆除。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⑤深浅两基坑(槽)相连时，应先填夯深基础;填至浅基坑相同的标高时，再与浅基础一起填夯。⑥基坑(槽)回填应在相对两侧或四周同时进行。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四.感想与总结</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2025-03-13T17:37:06+08:00</dcterms:created>
  <dcterms:modified xsi:type="dcterms:W3CDTF">2025-03-13T17:37:06+08:00</dcterms:modified>
</cp:coreProperties>
</file>

<file path=docProps/custom.xml><?xml version="1.0" encoding="utf-8"?>
<Properties xmlns="http://schemas.openxmlformats.org/officeDocument/2006/custom-properties" xmlns:vt="http://schemas.openxmlformats.org/officeDocument/2006/docPropsVTypes"/>
</file>