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「经济运行分析报告」 经济运行情况分析报告</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经济运行分析报告5篇】经济运行情况分析报告经济运行分析报告（一）****年对于河化公司来说是充满商机、极具？战的一年。由于受国际磷铵价格和海运费上涨带动以及国内市场需求的增长，预期磷铵市场将出现旺销势头；而原材料供应运输紧张、价格上涨和电...</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年度经营工作方针，制定了年度经营计划。经董事会批准，****年度的经营目标是生产磷铵22万吨，实现销售收入4.13亿元，年度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年度目标任务的30%；销售磷铵70,806.01万吨，实现销售收入13,280.63万元，完成年度销售收入的32%；经营亏损957.32万元。与上年一季度相比，磷铵产量增长72%，销量增长43%；亏损额下降74.07%。一季度可说是产销两旺，产销率达110%，资金回笼率100%，实现开门红，为全面完成年度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本年度计划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1、合成氨煤耗由上年同期的1.5909吨降至1.4201吨，下降10.74%,；耗蒸气由上年的3.2025吨降至2.9814吨，下降6.7%；电耗由上年的1,975.09度降至1,737.66吨，下降12%。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一季度累计实现销售收入13,280.63万元，与去年同期7,762.77万元相比，增加收入5,468.46万元，增长111.74%，累计亏损957.32万元，占年度控亏指标的11.26%，与上年同期3,691.39万元相比减少亏损2,734.07万元，下降74.07%。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2025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