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市县级局第二批“XXXX”主题教育实施方案</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市县级局第二批“XXXX”主题教育实施方案市县级局第二批“XXXX”主题教育实施方案为认真贯彻总书记在“XXXX”主题教育工作会议上的重要讲话精神，根据《中共中央关于在全党开展“XXXX”主题教育的意见》和省局党委和X市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第一篇：市县级局第二批“XXXX”主题教育实施方案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w:t>
      </w:r>
    </w:p>
    <w:p>
      <w:pPr>
        <w:ind w:left="0" w:right="0" w:firstLine="560"/>
        <w:spacing w:before="450" w:after="450" w:line="312" w:lineRule="auto"/>
      </w:pPr>
      <w:r>
        <w:rPr>
          <w:rFonts w:ascii="宋体" w:hAnsi="宋体" w:eastAsia="宋体" w:cs="宋体"/>
          <w:color w:val="000"/>
          <w:sz w:val="28"/>
          <w:szCs w:val="28"/>
        </w:rPr>
        <w:t xml:space="preserve">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在省局第三巡回指导组指导下开展。市局成立“XXXX”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2025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第二批主题教育为地市级以下，从2025年9月开始，11月底基本结束。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2025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2025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