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关于落实全面从严治党主体责任情况通报</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落实全面从严治党主体责任情况通报2024年以来，全市各级党组织以习近平新时代中国特色社会主义思想为指引，全面贯彻党的十九大和十九届二中、三中、四中全会精神，深入贯彻落实中央、省委全面从严治党各项决策部署和十九届中央纪委三次全会、省纪委十...</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w:t>
      </w:r>
    </w:p>
    <w:p>
      <w:pPr>
        <w:ind w:left="0" w:right="0" w:firstLine="560"/>
        <w:spacing w:before="450" w:after="450" w:line="312" w:lineRule="auto"/>
      </w:pPr>
      <w:r>
        <w:rPr>
          <w:rFonts w:ascii="宋体" w:hAnsi="宋体" w:eastAsia="宋体" w:cs="宋体"/>
          <w:color w:val="000"/>
          <w:sz w:val="28"/>
          <w:szCs w:val="28"/>
        </w:rPr>
        <w:t xml:space="preserve">“清单管理、对账销号”工作制度，统筹推进，逐项销账。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次专题督查。坚持正确政治方向，举办意识形态工作专题培训×次，切实提高全市党员干部驾驭和应对意识形态工作的能力。健全完善市委统一领导、宣传部门组织协调、有关部门分工负责的联动机制，先后召开意识形态协调联动会议×次，及时化解和有效管控意识形态的矛盾风险点。制定《××市党委（党组）意识形态工作责任制实施细则》《××市意识形态工作协调联动会议制度》《××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w:t>
      </w:r>
    </w:p>
    <w:p>
      <w:pPr>
        <w:ind w:left="0" w:right="0" w:firstLine="560"/>
        <w:spacing w:before="450" w:after="450" w:line="312" w:lineRule="auto"/>
      </w:pPr>
      <w:r>
        <w:rPr>
          <w:rFonts w:ascii="宋体" w:hAnsi="宋体" w:eastAsia="宋体" w:cs="宋体"/>
          <w:color w:val="000"/>
          <w:sz w:val="28"/>
          <w:szCs w:val="28"/>
        </w:rPr>
        <w:t xml:space="preserve">××××家，为居民提供的服务更加专业便捷，成功创建××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个，党纪政务处分××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家单位的巡察、××家单位的“回头看”以及××家单位的集中督办，正在开展对××个乡镇及××个村的巡察，共发现“三大问题”×××个、“六项纪律”问题×××个，移交问题线索××件，给予党政纪和组织处理××人，移送司法机关××人，挽回经济损失×××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w:t>
      </w:r>
    </w:p>
    <w:p>
      <w:pPr>
        <w:ind w:left="0" w:right="0" w:firstLine="560"/>
        <w:spacing w:before="450" w:after="450" w:line="312" w:lineRule="auto"/>
      </w:pPr>
      <w:r>
        <w:rPr>
          <w:rFonts w:ascii="宋体" w:hAnsi="宋体" w:eastAsia="宋体" w:cs="宋体"/>
          <w:color w:val="000"/>
          <w:sz w:val="28"/>
          <w:szCs w:val="28"/>
        </w:rPr>
        <w:t xml:space="preserve">“清新简约、务本责实”作风导向，深入开展“帮圈文化”专项整治。聚焦形式主义、官僚主义×种表现方式，重点围绕表态多调门高、行动少落实差等×个方面××个突出问题，开展形式主义、官僚主义专项监督检查，坚决防止反弹回潮，全市共查处违反中央八项规定问题×××件，处理××人，党纪政务处分××人。持续深化家风建设，组织全市县处级以上领导干部××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w:t>
      </w:r>
    </w:p>
    <w:p>
      <w:pPr>
        <w:ind w:left="0" w:right="0" w:firstLine="560"/>
        <w:spacing w:before="450" w:after="450" w:line="312" w:lineRule="auto"/>
      </w:pPr>
      <w:r>
        <w:rPr>
          <w:rFonts w:ascii="宋体" w:hAnsi="宋体" w:eastAsia="宋体" w:cs="宋体"/>
          <w:color w:val="000"/>
          <w:sz w:val="28"/>
          <w:szCs w:val="28"/>
        </w:rPr>
        <w:t xml:space="preserve">”还需进一步加强。有的单位面上提要求多，实际督促检查较少，执行各项纪律不够严格，对党员干部管理监督失之于宽、失之于软。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w:t>
      </w:r>
    </w:p>
    <w:p>
      <w:pPr>
        <w:ind w:left="0" w:right="0" w:firstLine="560"/>
        <w:spacing w:before="450" w:after="450" w:line="312" w:lineRule="auto"/>
      </w:pPr>
      <w:r>
        <w:rPr>
          <w:rFonts w:ascii="宋体" w:hAnsi="宋体" w:eastAsia="宋体" w:cs="宋体"/>
          <w:color w:val="000"/>
          <w:sz w:val="28"/>
          <w:szCs w:val="28"/>
        </w:rPr>
        <w:t xml:space="preserve">“两新”组织党的组织建设，扎实推进各领域党建工作。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2025-04-04T08:45:27+08:00</dcterms:created>
  <dcterms:modified xsi:type="dcterms:W3CDTF">2025-04-04T08:45:27+08:00</dcterms:modified>
</cp:coreProperties>
</file>

<file path=docProps/custom.xml><?xml version="1.0" encoding="utf-8"?>
<Properties xmlns="http://schemas.openxmlformats.org/officeDocument/2006/custom-properties" xmlns:vt="http://schemas.openxmlformats.org/officeDocument/2006/docPropsVTypes"/>
</file>