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乡民生工程宣传工作方案2024年度[全文5篇]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乡民生工程宣传工作方案2024年度乡民生工程宣传工作方案2024年度为扎实推进x年省定民生工程深入实施，广泛动员社会各界和人民群众积极参与、支持民生工程建设。现结合我乡实际，就认真做好x年民生工程宣传工作制定本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乡民生工程宣传工作方案2024年度</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第二篇：乡2024年民生工程宣传工作方案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