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党风廉政工作情况报告</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风廉政工作情况报告2篇篇一：今年来，自己严格按照上级部门关于加强党风廉政建设精神和有关规定，认真履行党风廉政建设责任制的各项职责要求，努力加强自身建设，带头做到廉洁自律，较好地完成了廉政建设责任制各项任务。一、加强学习，断增强廉洁自律和防...</w:t>
      </w:r>
    </w:p>
    <w:p>
      <w:pPr>
        <w:ind w:left="0" w:right="0" w:firstLine="560"/>
        <w:spacing w:before="450" w:after="450" w:line="312" w:lineRule="auto"/>
      </w:pPr>
      <w:r>
        <w:rPr>
          <w:rFonts w:ascii="宋体" w:hAnsi="宋体" w:eastAsia="宋体" w:cs="宋体"/>
          <w:color w:val="000"/>
          <w:sz w:val="28"/>
          <w:szCs w:val="28"/>
        </w:rPr>
        <w:t xml:space="preserve">党风廉政工作情况报告2篇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ｘｘ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ｘｘ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