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事业单位绩效工资实施方案〔二〕</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事业单位绩效工资实施方案〔二〕根据__县人民政府办公室转发《__县公共卫生事业单位绩效工资的实施办法》的通知及相关文件精神，结合我县实际，提出以下实施方案.一、指导思想以科学发展观为指导，建立基层计生事业单位按岗取酬、绩效挂钩、多劳多得的考...</w:t>
      </w:r>
    </w:p>
    <w:p>
      <w:pPr>
        <w:ind w:left="0" w:right="0" w:firstLine="560"/>
        <w:spacing w:before="450" w:after="450" w:line="312" w:lineRule="auto"/>
      </w:pPr>
      <w:r>
        <w:rPr>
          <w:rFonts w:ascii="宋体" w:hAnsi="宋体" w:eastAsia="宋体" w:cs="宋体"/>
          <w:color w:val="000"/>
          <w:sz w:val="28"/>
          <w:szCs w:val="28"/>
        </w:rPr>
        <w:t xml:space="preserve">事业单位绩效工资实施方案〔二〕</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（二）坚持向“技术含量高、风险程度大、工作负荷强、管理责任重”的一线岗位倾斜的原则.（三）坚持“绩效考核挂钩”的原则.（四）坚持公开、公正、公平考核的原则.三、实施范围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绩效量化考核实行百分考核办法.由县服务中心负责制定符合本方案的具体考核评分细则，报县局进行监督审核后，自行组织实施.（二）确定考核结果.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三）考核结果使用.绩效量化考核结果将同时记入事业单位干部职工年度考核、专业技术人员职务考核中，作为岗位聘任、职务晋升、表彰奖励、发放奖励性绩效工资的重要依据.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__年__月份起执行.（二）核定绩效工资总额.绩效工资总额按各单位干部职工上年度12月份基本工资和规范后津补贴水平每年到人社局核定一次.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三）基础性绩效工资考核分配.基础性绩效工资按月发放，直接打入个人帐户.（四）奖励性绩效工资考核分配.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干部职工奖励性绩效工资额=单位奖励性绩效工资总额÷单位绩效考核得分总和_干部职工个人绩效考核得分.（绩效考核结果不称职人员考核得分在绩效工资分配时不计入单位绩效考核总分）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各单位要召开全体职工大会，专题通报奖励性绩效工资分配情况，并张榜公示五个工作日，无异议后，写出书面公示报告，上报县__局、人社局.经县__局、人社局审核后，办理奖励性绩效工资审批手续.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（1）违反职业道德规范，考核不合格的.（2）绩效考核结果为不称职.（3）本年无故旷工累计达5个工作日以上（含）的、事假累计超过30个工作日（含）以上的；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2、单位因工作需要选派进修的人员享受同岗位平均绩效工资.3、法定产假、婚假、丧假、因公致残的，按国家有关规定执行.4、因工作需要，县服务中心、乡镇服务站抽调到县行政部门工作的人员，其奖励性绩效工资享受同岗位平均绩效工资，抽调到其它岗位工作的人员，原则上不得享受.5、受到警告以上党纪、政纪处分或违反国家法律而追究__责任的，按国家相关规定执行.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三）县局把干部职工绩效工资考核分配工作将纳入各单位一把手年度工作目标任务考核内容，进一步加强对此项工作的监督和管理.县局将组织有关人员对各单位绩效工资考核分配情况进行督查.（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2025-01-31T03:01:39+08:00</dcterms:created>
  <dcterms:modified xsi:type="dcterms:W3CDTF">2025-01-31T03:01:39+08:00</dcterms:modified>
</cp:coreProperties>
</file>

<file path=docProps/custom.xml><?xml version="1.0" encoding="utf-8"?>
<Properties xmlns="http://schemas.openxmlformats.org/officeDocument/2006/custom-properties" xmlns:vt="http://schemas.openxmlformats.org/officeDocument/2006/docPropsVTypes"/>
</file>