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个人政治建设自评材料</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个人政治建设自评材料个人政治建设自评材料党的建设是党的根本性建设，决定党的建设方向和效果。一直以来，xx镇党委将党的政治建设作为党的根本性建设，不断树牢“四个意识”、坚定“四个自信”、坚决做到“两个维护”，始终做到思想上自觉、政治上清醒、纪...</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年度落实党风廉政建设“3+2”责任清单》和《xx镇201x年度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年度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