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精选长沙石燕湖的导游词如何写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长沙石燕湖的导游词如何写一欢迎大家来到风景优美的岳麓山参观举世闻名的岳麓书院。今天，由我“客串”书院导游，引领大家踏上这一非凡的文化书香之旅!我们眼前的这块“风水宝地”便是古城长沙学术气息最浓郁的地方——岳麓书院。它是一座宁静优雅的庭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精选长沙石燕湖的导游词如何写一</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6"/>
          <w:szCs w:val="36"/>
          <w:b w:val="1"/>
          <w:bCs w:val="1"/>
        </w:rPr>
        <w:t xml:space="preserve">精选长沙石燕湖的导游词如何写二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该工程为长沙某学校教学实验楼工程，地点在长沙市______________________城。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元的承包单价由乙方进行承包，其承包单价包括以下内容：完成建设方提供的全套施工图纸、交底纪要、变更的有关施工的全部内容;现场规整与清理;__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四、付款方式与工期：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___________%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六、违约责任与其他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