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如何写致毕业生文明离校倡议书简短(二篇)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致毕业生文明离校倡议书简短一调查结果呈现出几个问题：一、多数学生对于“务实”有新的认识，就业期望趋向现实，主要表现在工作单位、工作区域等方面。(1)就业方向：先就业后择业成为第一选择大学生在职业取向方面优先考虑的前三项是“先就业后择业...</w:t>
      </w:r>
    </w:p>
    <w:p>
      <w:pPr>
        <w:ind w:left="0" w:right="0" w:firstLine="560"/>
        <w:spacing w:before="450" w:after="450" w:line="312" w:lineRule="auto"/>
      </w:pPr>
      <w:r>
        <w:rPr>
          <w:rFonts w:ascii="黑体" w:hAnsi="黑体" w:eastAsia="黑体" w:cs="黑体"/>
          <w:color w:val="000000"/>
          <w:sz w:val="36"/>
          <w:szCs w:val="36"/>
          <w:b w:val="1"/>
          <w:bCs w:val="1"/>
        </w:rPr>
        <w:t xml:space="preserve">如何写致毕业生文明离校倡议书简短一</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正文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6"/>
          <w:szCs w:val="36"/>
          <w:b w:val="1"/>
          <w:bCs w:val="1"/>
        </w:rPr>
        <w:t xml:space="preserve">如何写致毕业生文明离校倡议书简短二</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正文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