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2024年八年级评语汇总(七篇)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八年级评语汇总一存在问题如下：1。注重了对学生思维的激发，问题探讨、口头交流。忽视了基础知识掌握、词汇的积累和书面表达。2。对课文阅读理解不透，有囫囵吞枣现象。以课文为载体提高学生的阅读、理解，多角度分析总结概括上欠缺较多。3。部分...</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20_年八年级评语汇总一</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1。注重了对学生思维的激发，问题探讨、口头交流。忽视了基础知识掌握、词汇的积累和书面表达。</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2。对课文阅读理解不透，有囫囵吞枣现象。以课文为载体提高学生的阅读、理解，多角度分析总结概括上欠缺较多。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充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5。大多数学生已有自学课文的能力和习惯，加强指导自学的方法，提高自学的效果，督促学生及时自学并能提出问题，质疑、探讨。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6。做好考试总结，分析每一个学生学习情况，做到心中有数，有的放矢，及时鼓励、表扬，及时对一部分较差学生指导，帮助，使其尽快赶上来。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 ，全面提高学生的文化修养素质，特制订如下计划。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20_年八年级评语汇总二</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经过一年半的相处，我们师生之间都有了很大的了解。上学期，我们班取得了一些成绩，但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20_年八年级评语汇总四</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20_年八年级评语汇总六</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20_年八年级评语汇总七</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