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化学老师应聘自我介绍范文怎么写(二篇)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化学老师应聘自我介绍范文怎么写一一.复习内容 :人教版新课程课本九年级化学上、下册二.复习目标1.通过系统有计划对基七理论和基础知识的复习，学生能够熟练掌握基本概念和基本原理及化学用语等基础知识，并能运用它们解释化学充化的现象。2.通过“活...</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化学老师应聘自我介绍范文怎么写二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