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药剂支部年终工作总结(实用19篇)</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药剂支部年终工作总结1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本人自x...</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药剂支部年终工作总结2</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药剂支部年终工作总结3</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药剂支部年终工作总结4</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药剂支部年终工作总结5</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药剂支部年终工作总结6</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 其他方面：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XX年工作计划：1、密切配合临床，保证临床用药安全有效。2、加强临床药师的培养。3、贯彻落实抗生素药物临床指导原则，了解和指导临床应用情况。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药剂支部年终工作总结7</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药剂支部年终工作总结8</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药剂支部年终工作总结9</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药剂支部年终工作总结10</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药剂支部年终工作总结12</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药剂支部年终工作总结13</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&gt;一、药品管理工作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&gt;二、优化服务流程，完善住院药房信息系统的维护工作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&gt;三、加强与临床各科室的沟通协调工作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药剂支部年终工作总结15</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药剂支部年终工作总结16</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药剂支部年终工作总结17</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&gt;一、是加强药品质量管理，确保有效供应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&gt;三、加强部门的环境建设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&gt;四、完成二甲基的后续工作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&gt;六、申请制剂开展临床药学工作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药剂支部年终工作总结18</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药剂科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5、提高了麻醉等药品、精神等药品的管理工作，每一天交接班制度，做到帐物相符，保证麻醉等药品安全合理使用。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进取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药剂支部年终工作总结19</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