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最新学校招生办工作总结(五篇)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招生办工作总结一一、全方位宣传，营造招生的良好氛围。应对各个学校的无序竞争，我们清楚所面临的严峻形势，在苗主任的带领下，全体一班人审时度势，认真调定以宣传为招生的突破口采取以下几点措施：1、精心选取宣传材料，编印招生简章，印发《致学生家...</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学校招生办工作总结一</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学校招生办工作总结二</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今年，我乡完成中职招生10人，完成率为31.3%，其中韩集中学完成6人，完成率为24%，虾集中学完成4人，完成率为57.1%。完成情况不佳，与市局下达的任务数有较大差距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根据《关于加强我市中职招生工作的意见》，我处也制定了相应的《市农广校20年秋季招生方案》。经过全校教职工的共同努力，在招生形式困难的情况下，我校秋季招生得以顺利完成。主要采取了以下措施: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招生工作告家长书》。以广大新生家长所关注的热点问题为突破口，认真撰写概况和教育教学介绍的《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学校招生办工作总结五</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年x月我校接到七星关区教育局下发的《七星关区教育局关于认真做好20年中等职业教育招生工作的通知》文件后，就依据文件精神全面铺开20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根据上级文件精神及七星关区教育局20年职高高指标要求，杨家湾中学20年应完成输送中职计划为290人，依照任务目标，我校及时严肃地将任务分解到8个毕业班，督促层层落实，认真做好中职送生工作。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