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 学校食品安全风险隐患排查实施方案(七篇)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 学校食品安全风险隐患排查实施方案一一、开展了以“尚德守法 全面提升食品安全法制化水平” 为主题的一系列宣传教育活动。二、成立了食品安全周宣传活动领导小组，制定了工作方案。三、在学校醒目的地方张贴标语“培养良好饮...</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 学校食品安全风险隐患排查实施方案七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