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传承弘扬伟大建党精神论文范文(精选10篇)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以下是为大家整理的关于传承弘扬伟大建党精神论文的文章10篇 ,欢迎品鉴！第1篇: 传承弘扬伟大建党精神论文　　20_年7月1日上午，庆祝中国共产党成立100周年大会在北京天安门广场隆重举行。从1921...</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560"/>
        <w:spacing w:before="450" w:after="450" w:line="312" w:lineRule="auto"/>
      </w:pPr>
      <w:r>
        <w:rPr>
          <w:rFonts w:ascii="黑体" w:hAnsi="黑体" w:eastAsia="黑体" w:cs="黑体"/>
          <w:color w:val="000000"/>
          <w:sz w:val="36"/>
          <w:szCs w:val="36"/>
          <w:b w:val="1"/>
          <w:bCs w:val="1"/>
        </w:rPr>
        <w:t xml:space="preserve">第3篇: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第4篇: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第6篇: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第8篇: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第9篇: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