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12家券商集中推荐格力电器 二线低估值蓝筹有待上涨</w:t>
      </w:r>
      <w:bookmarkEnd w:id="1"/>
    </w:p>
    <w:p>
      <w:pPr>
        <w:jc w:val="center"/>
        <w:spacing w:before="0" w:after="450"/>
      </w:pPr>
      <w:r>
        <w:rPr>
          <w:rFonts w:ascii="Arial" w:hAnsi="Arial" w:eastAsia="Arial" w:cs="Arial"/>
          <w:color w:val="999999"/>
          <w:sz w:val="20"/>
          <w:szCs w:val="20"/>
        </w:rPr>
        <w:t xml:space="preserve">来源：网络  作者：琴心剑胆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受两融市场受到监管层的查处影响，上周一（1月19日），股市迎来黑色星期一，上证指数大跌7.7%。不过，随后几天大盘补上了跳空的长阴线，股市重新回归上涨旅程。在此期间，成长股等股票再度受到市场关注，创业板指数再创新高。市场利空不能改变股市上涨...</w:t>
      </w:r>
    </w:p>
    <w:p>
      <w:pPr>
        <w:ind w:left="0" w:right="0" w:firstLine="560"/>
        <w:spacing w:before="450" w:after="450" w:line="312" w:lineRule="auto"/>
      </w:pPr>
      <w:r>
        <w:rPr>
          <w:rFonts w:ascii="宋体" w:hAnsi="宋体" w:eastAsia="宋体" w:cs="宋体"/>
          <w:color w:val="000"/>
          <w:sz w:val="28"/>
          <w:szCs w:val="28"/>
        </w:rPr>
        <w:t xml:space="preserve">受两融市场受到监管层的查处影响，上周一（1月19日），股市迎来黑色星期一，上证指数大跌7.7%。不过，随后几天大盘补上了跳空的长阴线，股市重新回归上涨旅程。在此期间，成长股等股票再度受到市场关注，创业板指数再创新高。市场利空不能改变股市上涨的大趋势。1月12日-16日这一周，长江证券、宏源证券、华泰证券分别推荐的如意集团、高能环境、精华制药周涨幅排名前三，涨幅分别是46.8%、45.1%、37.3%。时至年报公布及，有业绩支撑股票成为市场追逐的热点；国企改革大幕启动，有改革概念的股票也成为市场上宠儿。</w:t>
      </w:r>
    </w:p>
    <w:p>
      <w:pPr>
        <w:ind w:left="0" w:right="0" w:firstLine="560"/>
        <w:spacing w:before="450" w:after="450" w:line="312" w:lineRule="auto"/>
      </w:pPr>
      <w:r>
        <w:rPr>
          <w:rFonts w:ascii="宋体" w:hAnsi="宋体" w:eastAsia="宋体" w:cs="宋体"/>
          <w:color w:val="000"/>
          <w:sz w:val="28"/>
          <w:szCs w:val="28"/>
        </w:rPr>
        <w:t xml:space="preserve">格力电器</w:t>
      </w:r>
    </w:p>
    <w:p>
      <w:pPr>
        <w:ind w:left="0" w:right="0" w:firstLine="560"/>
        <w:spacing w:before="450" w:after="450" w:line="312" w:lineRule="auto"/>
      </w:pPr>
      <w:r>
        <w:rPr>
          <w:rFonts w:ascii="宋体" w:hAnsi="宋体" w:eastAsia="宋体" w:cs="宋体"/>
          <w:color w:val="000"/>
          <w:sz w:val="28"/>
          <w:szCs w:val="28"/>
        </w:rPr>
        <w:t xml:space="preserve">格力电器有12家券商推荐，成为推荐券商最多的一家公司，推荐的目标价最高为56元。近期公司发布年度业绩快报，全年净利润141亿元，同比增长30%。展望202_年，公司实现1600亿元的收入目标无忧。考虑到国内尤其是农村市场空调仍未实现普及，进口替代推动中央空调收入持续高增长以及小家电业务逐步发力，未来三年公司业绩增长确定性依旧很高，而近期格力积极布局线上渠道，市场诟病较多的电商战略落后问题逐步得到解决。同时随着国企改革的逐步落地，公司分红比例，管理层体制以及市值管理等方面均值得期待。</w:t>
      </w:r>
    </w:p>
    <w:p>
      <w:pPr>
        <w:ind w:left="0" w:right="0" w:firstLine="560"/>
        <w:spacing w:before="450" w:after="450" w:line="312" w:lineRule="auto"/>
      </w:pPr>
      <w:r>
        <w:rPr>
          <w:rFonts w:ascii="宋体" w:hAnsi="宋体" w:eastAsia="宋体" w:cs="宋体"/>
          <w:color w:val="000"/>
          <w:sz w:val="28"/>
          <w:szCs w:val="28"/>
        </w:rPr>
        <w:t xml:space="preserve">中兴通讯</w:t>
      </w:r>
    </w:p>
    <w:p>
      <w:pPr>
        <w:ind w:left="0" w:right="0" w:firstLine="560"/>
        <w:spacing w:before="450" w:after="450" w:line="312" w:lineRule="auto"/>
      </w:pPr>
      <w:r>
        <w:rPr>
          <w:rFonts w:ascii="宋体" w:hAnsi="宋体" w:eastAsia="宋体" w:cs="宋体"/>
          <w:color w:val="000"/>
          <w:sz w:val="28"/>
          <w:szCs w:val="28"/>
        </w:rPr>
        <w:t xml:space="preserve">9家券商推荐中兴通讯，最高目标价为26.5元。202_年中兴通讯净利润为26亿元，同比增长94%。4G驱动主营快速增长，创新业务不断壮大。受益三大运营商4G投资持续，公司主营业务运营商网络业务持续恢复增长。创新业务方面，公司正由传统设备商向服务商转型，开始向互联网、新能源等领域发展，同时公司相关的手机、机顶盒等产品也将陆续推出。三大运营商资本开支202_年将继续保持10%以上增长。中兴通讯目前在三大运营商4G的市场份额均保持领先，将显著受益资本开支高增长。此外，手机业务毛利率有望恢复，出货量有望超过6000万部。</w:t>
      </w:r>
    </w:p>
    <w:p>
      <w:pPr>
        <w:ind w:left="0" w:right="0" w:firstLine="560"/>
        <w:spacing w:before="450" w:after="450" w:line="312" w:lineRule="auto"/>
      </w:pPr>
      <w:r>
        <w:rPr>
          <w:rFonts w:ascii="宋体" w:hAnsi="宋体" w:eastAsia="宋体" w:cs="宋体"/>
          <w:color w:val="000"/>
          <w:sz w:val="28"/>
          <w:szCs w:val="28"/>
        </w:rPr>
        <w:t xml:space="preserve">江铃汽车</w:t>
      </w:r>
    </w:p>
    <w:p>
      <w:pPr>
        <w:ind w:left="0" w:right="0" w:firstLine="560"/>
        <w:spacing w:before="450" w:after="450" w:line="312" w:lineRule="auto"/>
      </w:pPr>
      <w:r>
        <w:rPr>
          <w:rFonts w:ascii="宋体" w:hAnsi="宋体" w:eastAsia="宋体" w:cs="宋体"/>
          <w:color w:val="000"/>
          <w:sz w:val="28"/>
          <w:szCs w:val="28"/>
        </w:rPr>
        <w:t xml:space="preserve">8家券商推荐了江铃汽车，最高目标价为50元。年报业绩超预期，进入202_年快速增长期。由于升级国四需要对发动机做较大改进，大量技术储备薄弱的轻卡企业无法在短时间内生产排放达标的轻卡车型，轻卡行业调整可能将持续至202_年。公司轻卡产品省油、耐用、服务佳、国四车型价格提升幅度合理，调整期内销量有望持续高速增长，预计202_年销量突破14万辆，冲击行业前二。此外202_年和202_年公司还有多款重磅车型相继上市，产销规模、盈利能力都将大幅提升，业绩增长有望继续提速。</w:t>
      </w:r>
    </w:p>
    <w:p>
      <w:pPr>
        <w:ind w:left="0" w:right="0" w:firstLine="560"/>
        <w:spacing w:before="450" w:after="450" w:line="312" w:lineRule="auto"/>
      </w:pPr>
      <w:r>
        <w:rPr>
          <w:rFonts w:ascii="宋体" w:hAnsi="宋体" w:eastAsia="宋体" w:cs="宋体"/>
          <w:color w:val="000"/>
          <w:sz w:val="28"/>
          <w:szCs w:val="28"/>
        </w:rPr>
        <w:t xml:space="preserve">鄂武商A</w:t>
      </w:r>
    </w:p>
    <w:p>
      <w:pPr>
        <w:ind w:left="0" w:right="0" w:firstLine="560"/>
        <w:spacing w:before="450" w:after="450" w:line="312" w:lineRule="auto"/>
      </w:pPr>
      <w:r>
        <w:rPr>
          <w:rFonts w:ascii="宋体" w:hAnsi="宋体" w:eastAsia="宋体" w:cs="宋体"/>
          <w:color w:val="000"/>
          <w:sz w:val="28"/>
          <w:szCs w:val="28"/>
        </w:rPr>
        <w:t xml:space="preserve">6家券商推荐了鄂武商A，最高目标价为25元。定增发行1.5 亿股，提高可持续性经营。推行员工持股完善公司治理，提振长期增长信心。第一，区域商业龙头，价值回归预期强烈。第二，线上线下协同发展，继202_年成立一卡通公司、组建武商网试水电商后，202_年公司又以7000万增资全资子公司一卡通科技，同时申请互联网支付许可证，实现武商网、 武商一卡通、第三方支付有机整合，借助一卡通实现实体门店服务连锁化，借助第三方支付实现线上武商网独立商品结算，线下线上协同效应彰显。第三，积极响应国家政策，争做国企改革先锋。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2025-01-20T13:25:03+08:00</dcterms:created>
  <dcterms:modified xsi:type="dcterms:W3CDTF">2025-01-20T13:25:03+08:00</dcterms:modified>
</cp:coreProperties>
</file>

<file path=docProps/custom.xml><?xml version="1.0" encoding="utf-8"?>
<Properties xmlns="http://schemas.openxmlformats.org/officeDocument/2006/custom-properties" xmlns:vt="http://schemas.openxmlformats.org/officeDocument/2006/docPropsVTypes"/>
</file>