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绿水青山就是金山银山论文(通用4篇)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&amp;ldquo碧水和青山是金色和银色的山&amp;rdquo***规划先行是金山银山、绿水青山的前提，也是将绿水青山变为金山银山的顶层设计。 以下是为大家整理的关于绿水青山就是金山银山论文的文章4篇 ,欢迎品鉴！【篇一】绿水青山就是金山银山论文　　2...</w:t>
      </w:r>
    </w:p>
    <w:p>
      <w:pPr>
        <w:ind w:left="0" w:right="0" w:firstLine="560"/>
        <w:spacing w:before="450" w:after="450" w:line="312" w:lineRule="auto"/>
      </w:pPr>
      <w:r>
        <w:rPr>
          <w:rFonts w:ascii="宋体" w:hAnsi="宋体" w:eastAsia="宋体" w:cs="宋体"/>
          <w:color w:val="000"/>
          <w:sz w:val="28"/>
          <w:szCs w:val="28"/>
        </w:rPr>
        <w:t xml:space="preserve">&amp;ldquo碧水和青山是金色和银色的山&amp;rdquo***规划先行是金山银山、绿水青山的前提，也是将绿水青山变为金山银山的顶层设计。 以下是为大家整理的关于绿水青山就是金山银山论文的文章4篇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【篇一】绿水青山就是金山银山论文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【篇二】绿水青山就是金山银山论文</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【篇三】绿水青山就是金山银山论文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【篇四】绿水青山就是金山银山论文</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