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乡村振兴论文(通用15篇)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形势是指人员力量和弱点的消长事物的发展不同于&amp;ldquo表单&amp;rdquo。文子&amp;米德性质：&amp;ldquo人和事物都有胜利，但是道没有胜利，所以没有赢家，因为它的无常状态。 以下是为大家整理的关于乡村振兴论文的文章15篇 ,欢迎品鉴！【篇一】乡...</w:t>
      </w:r>
    </w:p>
    <w:p>
      <w:pPr>
        <w:ind w:left="0" w:right="0" w:firstLine="560"/>
        <w:spacing w:before="450" w:after="450" w:line="312" w:lineRule="auto"/>
      </w:pPr>
      <w:r>
        <w:rPr>
          <w:rFonts w:ascii="宋体" w:hAnsi="宋体" w:eastAsia="宋体" w:cs="宋体"/>
          <w:color w:val="000"/>
          <w:sz w:val="28"/>
          <w:szCs w:val="28"/>
        </w:rPr>
        <w:t xml:space="preserve">形势是指人员力量和弱点的消长事物的发展不同于&amp;ldquo表单&amp;rdquo。文子&amp;米德性质：&amp;ldquo人和事物都有胜利，但是道没有胜利，所以没有赢家，因为它的无常状态。 以下是为大家整理的关于乡村振兴论文的文章15篇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【篇三】乡村振兴论文</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了实施乡村振兴战略的重大任务。20_年中央农村工作会议和20_年中央一号文件为我们勾画了实施乡村振兴战略的宏伟蓝图，并专门进行了重大决策部署。20_年中央经济工作会议将实施乡村振兴战略作为围绕推动高质量发展需要做好的8项重点工作之一。20_年1月30日，习近平总书记在主持中央政治局第三次集体学习时，明确提出“乡村振兴是一盘大棋，要把这盘大棋走好”。在此背景下，科学理解推进乡村振兴的重大战略导向，对于更好地实施乡村振兴战略具有重要意义。自党的十九大以来，关于实施乡村振兴战略的研究文章很多，但多为解读性或表态性文章。最近一段时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2025-01-19T03:05:44+08:00</dcterms:created>
  <dcterms:modified xsi:type="dcterms:W3CDTF">2025-01-19T03:05:44+08:00</dcterms:modified>
</cp:coreProperties>
</file>

<file path=docProps/custom.xml><?xml version="1.0" encoding="utf-8"?>
<Properties xmlns="http://schemas.openxmlformats.org/officeDocument/2006/custom-properties" xmlns:vt="http://schemas.openxmlformats.org/officeDocument/2006/docPropsVTypes"/>
</file>