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2024年毕业设计论文指导教师评语最新要求(3篇)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最新要求一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毕业设计论文指导教师评语最新要求一</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毕业设计论文指导教师评语最新要求二</w:t>
      </w:r>
    </w:p>
    <w:p>
      <w:pPr>
        <w:ind w:left="0" w:right="0" w:firstLine="560"/>
        <w:spacing w:before="450" w:after="450" w:line="312" w:lineRule="auto"/>
      </w:pPr>
      <w:r>
        <w:rPr>
          <w:rFonts w:ascii="宋体" w:hAnsi="宋体" w:eastAsia="宋体" w:cs="宋体"/>
          <w:color w:val="000"/>
          <w:sz w:val="28"/>
          <w:szCs w:val="28"/>
        </w:rPr>
        <w:t xml:space="preserve">1、指导教师评语：</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2025-04-28T20:25:48+08:00</dcterms:created>
  <dcterms:modified xsi:type="dcterms:W3CDTF">2025-04-28T20:25:48+08:00</dcterms:modified>
</cp:coreProperties>
</file>

<file path=docProps/custom.xml><?xml version="1.0" encoding="utf-8"?>
<Properties xmlns="http://schemas.openxmlformats.org/officeDocument/2006/custom-properties" xmlns:vt="http://schemas.openxmlformats.org/officeDocument/2006/docPropsVTypes"/>
</file>