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论文格式模板范文下载推荐6篇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论文格式模板范文下载 第一篇我看到了可爱小熊同学的作文，心里有一些想法，写成一篇议论文吧。我的角度与他/她不完全一样，不是就一些个人的观点来谈，只是泛泛说一说这个话题。要想探讨时尚必需要理解时尚的定义，否则就是空谈。所谓时尚，“时”应该就是...</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第一篇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第二篇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第三篇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标点符号应按照国家_公布的标点符号使用方法的统一规定正确使用，忌误用和含糊混乱。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第五篇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第六篇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