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2024年党支部上半年工作总结_工商所2024年上半年工作总结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商所坚持“以人为本，争优创新”的管理理念，不断提升干部队伍总体素质，着力提升监管执法整体效能。以下是本站小编为大家精心整理的工商所2024年上半年工作总结，欢迎大家阅读，供您参考。更多精彩内容请关注本站。　　今年以来,我所在分局党委的...</w:t>
      </w:r>
    </w:p>
    <w:p>
      <w:pPr>
        <w:ind w:left="0" w:right="0" w:firstLine="560"/>
        <w:spacing w:before="450" w:after="450" w:line="312" w:lineRule="auto"/>
      </w:pPr>
      <w:r>
        <w:rPr>
          <w:rFonts w:ascii="宋体" w:hAnsi="宋体" w:eastAsia="宋体" w:cs="宋体"/>
          <w:color w:val="000"/>
          <w:sz w:val="28"/>
          <w:szCs w:val="28"/>
        </w:rPr>
        <w:t xml:space="preserve">　　工商所坚持“以人为本，争优创新”的管理理念，不断提升干部队伍总体素质，着力提升监管执法整体效能。以下是本站小编为大家精心整理的工商所2024年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2025-04-05T00:24:14+08:00</dcterms:created>
  <dcterms:modified xsi:type="dcterms:W3CDTF">2025-04-05T00:24:14+08:00</dcterms:modified>
</cp:coreProperties>
</file>

<file path=docProps/custom.xml><?xml version="1.0" encoding="utf-8"?>
<Properties xmlns="http://schemas.openxmlformats.org/officeDocument/2006/custom-properties" xmlns:vt="http://schemas.openxmlformats.org/officeDocument/2006/docPropsVTypes"/>
</file>