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2024年上半年林长制工作总结四篇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以下是为大家整理的关于2024年上半年林长制工作总结的文章4篇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2024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一、2024年上半年林长制改革工作开展情况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2024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2024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2024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2024年林业图斑核查工作，我县共涉及28个乡镇209个违法图斑。二是加强森林防灭火工作。清明节期间利用移动短消息发送防火信息39万多条；开展防火宣传“进社区进校园”活动，发放宣传资料2024余份，张贴宣传标语400余条；“世界地球日”开展打击森林草原违法用火宣传活动，共计发放宣传资料2024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2024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2024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2024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2024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2024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2024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2024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