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关于打造数字经济新优势教案总结(四篇)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打造数字经济新优势教案总结一根据市人大常委会20xx年监督工作计划的安排，以及省、温州市人大常委会的统一部署，6月份，市人大常委会印发了关于开展数字经济发展情况监督工作的实施方案的通知，并于7至8月份，成立调研组，在市人大常委会副主任王...</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关于打造数字经济新优势教案总结一</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关于打造数字经济新优势教案总结二</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关于打造数字经济新优势教案总结三</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560"/>
        <w:spacing w:before="450" w:after="450" w:line="312" w:lineRule="auto"/>
      </w:pPr>
      <w:r>
        <w:rPr>
          <w:rFonts w:ascii="黑体" w:hAnsi="黑体" w:eastAsia="黑体" w:cs="黑体"/>
          <w:color w:val="000000"/>
          <w:sz w:val="36"/>
          <w:szCs w:val="36"/>
          <w:b w:val="1"/>
          <w:bCs w:val="1"/>
        </w:rPr>
        <w:t xml:space="preserve">关于打造数字经济新优势教案总结四</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2025-04-18T23:19:00+08:00</dcterms:created>
  <dcterms:modified xsi:type="dcterms:W3CDTF">2025-04-18T23:19:00+08:00</dcterms:modified>
</cp:coreProperties>
</file>

<file path=docProps/custom.xml><?xml version="1.0" encoding="utf-8"?>
<Properties xmlns="http://schemas.openxmlformats.org/officeDocument/2006/custom-properties" xmlns:vt="http://schemas.openxmlformats.org/officeDocument/2006/docPropsVTypes"/>
</file>