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推荐保密工作及下年计划总结</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保密工作及下年计划总结一重点加强对新《保密法》的学习和宣传，深刻体会新《保密法》的精神，深入贯彻落实新《保密法》的要求;做好保密资格认证复查的各项准备工作，以严格、规范的保密管理工作来迎接保密资格认证复查，并以此为契机，进一步规范保密工...</w:t>
      </w:r>
    </w:p>
    <w:p>
      <w:pPr>
        <w:ind w:left="0" w:right="0" w:firstLine="560"/>
        <w:spacing w:before="450" w:after="450" w:line="312" w:lineRule="auto"/>
      </w:pPr>
      <w:r>
        <w:rPr>
          <w:rFonts w:ascii="黑体" w:hAnsi="黑体" w:eastAsia="黑体" w:cs="黑体"/>
          <w:color w:val="000000"/>
          <w:sz w:val="36"/>
          <w:szCs w:val="36"/>
          <w:b w:val="1"/>
          <w:bCs w:val="1"/>
        </w:rPr>
        <w:t xml:space="preserve">推荐保密工作及下年计划总结一</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