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保险行业半年工作总结,综合工作总结区失业保险半年工作总结,工作总结</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一、上半年工作开展情况　　（一）元旦、春节期间，一如既往的开展了“送温暖”活动，按照区委区政府的统一安排，为特困集体企业下岗职工发放慰问金及慰问品计231000元，并为1635名领取失业金的失业人员发放“送温暖”补助金81750元，为2...</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　　（二）失业保险参保扩面工作。截止7月底，失业保险新增扩面9805人，其中农民工新增扩面2100人，失业保险参保人数57756人,离完成年度目标任务还有5244人的缺口。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　　（三）按时足额发放失业保险金提标后的失业人员失业保险金及国有企业大龄下岗职工的生活费，确保金融危机形势下失业人员和大龄下岗职工的基本生活。1-7月，新接收符合享受失业保险待遇的失业人员546人，为1770名失业人员发放失业保险金487.32万元，支出医疗补助金42.09万元。同时为451名失业农民工发放一次性生活补助金66.89万元，创历史新高。今年7月，我区新接收包括重钢环保搬迁的国有企业大龄下岗职工290名，截止7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　　（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7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　　（五）继续做好重钢环保搬迁“直通车”人员的基本生活保障问题。2024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　　（六）努力做好失业保险金的征收工作。截止7月底，累计征收失业保险金1636万元，闯同年度历史新高。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　　（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　　（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2024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　　二、下半年工作重点</w:t>
      </w:r>
    </w:p>
    <w:p>
      <w:pPr>
        <w:ind w:left="0" w:right="0" w:firstLine="560"/>
        <w:spacing w:before="450" w:after="450" w:line="312" w:lineRule="auto"/>
      </w:pPr>
      <w:r>
        <w:rPr>
          <w:rFonts w:ascii="宋体" w:hAnsi="宋体" w:eastAsia="宋体" w:cs="宋体"/>
          <w:color w:val="000"/>
          <w:sz w:val="28"/>
          <w:szCs w:val="28"/>
        </w:rPr>
        <w:t xml:space="preserve">　　加大失业保险参保扩面力度。我区今年失业保险参保扩面与往年相比难度更大。受金融危机影响，2024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　　（一）根据参加基本医疗保险的系统参保数据情况，将未参加失业保险的事业单位强制导入失业保险参保。全区138家事业单位在编3122人，目前有2300人左右未参加失业保险。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　　（二）和其他保险一道加大企业参保扩面力度。金保系统上线后，要求单位同时参加五大保险，因此单一险种基本上无法单独开展参保扩面工作。建议请劳动局或社保局牵头，组织养老、失业、医疗、工伤、生育保险五个险种统一开展2024年度的参保扩面工作，力争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2025-04-05T01:12:06+08:00</dcterms:created>
  <dcterms:modified xsi:type="dcterms:W3CDTF">2025-04-05T01:12:06+08:00</dcterms:modified>
</cp:coreProperties>
</file>

<file path=docProps/custom.xml><?xml version="1.0" encoding="utf-8"?>
<Properties xmlns="http://schemas.openxmlformats.org/officeDocument/2006/custom-properties" xmlns:vt="http://schemas.openxmlformats.org/officeDocument/2006/docPropsVTypes"/>
</file>