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上半年党风廉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上半年党风廉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2024上半年党风廉政工作总结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&gt;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&gt;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&gt;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2024上半年党风廉政工作总结</w:t>
      </w:r>
    </w:p>
    <w:p>
      <w:pPr>
        <w:ind w:left="0" w:right="0" w:firstLine="560"/>
        <w:spacing w:before="450" w:after="450" w:line="312" w:lineRule="auto"/>
      </w:pPr>
      <w:r>
        <w:rPr>
          <w:rFonts w:ascii="宋体" w:hAnsi="宋体" w:eastAsia="宋体" w:cs="宋体"/>
          <w:color w:val="000"/>
          <w:sz w:val="28"/>
          <w:szCs w:val="28"/>
        </w:rPr>
        <w:t xml:space="preserve">　　20__年，我局以习近平新时代中国特色社会主义思想为指导，深入学习贯彻的精神，认真落实中央、自治区、市纪委全会会议精神，狠抓全局党风廉政建设和作风建设，持之以恒正风肃纪，积极提队伍素质，建设忠诚干净担当的审计队伍，营造风清气正的政治生态，进一步把党风廉政建设和反腐倡廉工作提高到一个新水平。现将我局20_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_问题的审计力度，切实做到把全面从严治党覆盖到“最后一公里”。加强对民生资金、扶贫领域、工程建设等重点领域和关键环节的审计，严肃查处“雁过拔毛”式_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2025-04-04T16:36:28+08:00</dcterms:created>
  <dcterms:modified xsi:type="dcterms:W3CDTF">2025-04-04T16:36:28+08:00</dcterms:modified>
</cp:coreProperties>
</file>

<file path=docProps/custom.xml><?xml version="1.0" encoding="utf-8"?>
<Properties xmlns="http://schemas.openxmlformats.org/officeDocument/2006/custom-properties" xmlns:vt="http://schemas.openxmlformats.org/officeDocument/2006/docPropsVTypes"/>
</file>