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人社局2024年上半年工作总结及下半年工作安排</w:t>
      </w:r>
      <w:bookmarkEnd w:id="1"/>
    </w:p>
    <w:p>
      <w:pPr>
        <w:jc w:val="center"/>
        <w:spacing w:before="0" w:after="450"/>
      </w:pPr>
      <w:r>
        <w:rPr>
          <w:rFonts w:ascii="Arial" w:hAnsi="Arial" w:eastAsia="Arial" w:cs="Arial"/>
          <w:color w:val="999999"/>
          <w:sz w:val="20"/>
          <w:szCs w:val="20"/>
        </w:rPr>
        <w:t xml:space="preserve">来源：网络  作者：暖阳如梦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按照区政府办要求，区人社局结合工作认真总结2024年上半年工作，安排部署下半年工作，现将相关情况报告如下。　　&gt;一、上半年工作总结&gt;　　(一)立足民生为本，推动实现更高质量就业。一是实施企业用工保障行动，成功举办“金青新大港区”人力资源...</w:t>
      </w:r>
    </w:p>
    <w:p>
      <w:pPr>
        <w:ind w:left="0" w:right="0" w:firstLine="560"/>
        <w:spacing w:before="450" w:after="450" w:line="312" w:lineRule="auto"/>
      </w:pPr>
      <w:r>
        <w:rPr>
          <w:rFonts w:ascii="宋体" w:hAnsi="宋体" w:eastAsia="宋体" w:cs="宋体"/>
          <w:color w:val="000"/>
          <w:sz w:val="28"/>
          <w:szCs w:val="28"/>
        </w:rPr>
        <w:t xml:space="preserve">　　按照区政府办要求，区人社局结合工作认真总结2024年上半年工作，安排部署下半年工作，现将相关情况报告如下。</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&gt;　　(一)立足民生为本，推动实现更高质量就业。一是实施企业用工保障行动，成功举办“金青新大港区”人力资源协同产业发展大型专场招聘会;组织区内企事业单位参加2024年“蓉漂人才荟”、“智慧天府”等专场招聘会;依托区人力资源市场扎实做好现场招聘、岗位信息发布等用工求职服务，全力保障企业对不同层次的人力资源需求，截止5月，共组织开展各类现场及专场招聘会52场，累计1586家次企业提供就业岗位2.5万余个次，求职登记11607人次，与用工单位达成意向性用工协议6901人次。&gt;二是实施援企稳岗“护航行动”，积极做好援企稳岗“护航行动”政策落实，充分发挥失业保险“保生活、防失业、促就业”功能。截止目前，为122家企业办理稳岗补贴，补贴金额333.97万元，惠及职工19658人。&gt;三是实施重点群体就业促进行动，举办欧洲产业城、万贯国际贸易大平台等项目专场招聘会，全力帮助产业园区周边失地农民就地就近就业;切实做好下岗失业人员、“4050“人员等重点群体的就业帮扶，主动落实就业援助对象的社保补贴和岗位补贴。截止5月，为98家用人单位落实社保补贴178.30万元，为71家用人单位落实岗位补贴186.93万元;为77人次发放灵活就业社保补贴6.86万元。&gt;四是实施农民工服务保障行动，精心举办了以“返乡就业创业，回乡发展致富”为主题的2024年春风行动，组织企业、培训机构深入到全区11个乡镇(街道)及村(社区)举办22场就业巡回服务活动，累计提供岗位信息1.1万余个次，求职登记4536人次，同时，对全区7.6万农民工及其家庭进行全覆盖走访慰问。&gt;五是实施“创业天府”行动，加大创业担保贷款、高校毕业生创业补贴、创业培训等政策宣传力度，联合区税务局、团区委开展“青年梦 税企情”创业沙龙，为创业搭建交流互动平台，受理并审核通过高校毕业生创业补贴申请15份，拟兑现创业补贴15万元，开展在校大学生创业培训2期60人、返乡农民工创业培训2期26人。1-5月，全区实现城镇新增就业4414人;失业人员再就业1509人，其中：就业困难人员再就业463人;城镇登记失业率2.38%;农村富余劳动力向非农产业转移就业新增3046人。</w:t>
      </w:r>
    </w:p>
    <w:p>
      <w:pPr>
        <w:ind w:left="0" w:right="0" w:firstLine="560"/>
        <w:spacing w:before="450" w:after="450" w:line="312" w:lineRule="auto"/>
      </w:pPr>
      <w:r>
        <w:rPr>
          <w:rFonts w:ascii="宋体" w:hAnsi="宋体" w:eastAsia="宋体" w:cs="宋体"/>
          <w:color w:val="000"/>
          <w:sz w:val="28"/>
          <w:szCs w:val="28"/>
        </w:rPr>
        <w:t xml:space="preserve">　&gt;　(二)立足全面保障，社保经办保持优质高效。一是社保经办服务质效有效提升，结合“放管服”改革，共享XX市新开办企业工商数据，实现同步自动办理企业社会保险登记，企业“零跑路”;自助缴费一体机投放数量从24台增至92台，实现社保大厅、自贸区服务大厅及35个基层社保经办服务中心(站)的全面普及和使用。&gt;二是城乡居民养老保险参保工作高效开展，以“春风行动”为载体，深入各乡镇(街道)广泛宣传城乡居民养老保险政策，发放宣传资料2万余份;组织召开全区基层人力资源和社会保障公共服务平台建设工作培训会，就城乡居民养老保险业务经办对基层平台业务经办人员进行培训。&gt;三是社会保险费征管体制改革工作平稳有序，积极配合区税务局，做好社会保险费征管职责划转工作，已将城乡居民养老保险、全区机关事业单位的养老、医疗、生育、失业、工伤等险种移交至税务局征收。&gt;四是社保降费减负计划有效实施，从5月1日起，积极贯彻落实国家和省市降低社会保险费率和调整缴费基数政策，为企业减轻社保缴费负担约760余万元;实行“退一补一、转一补一”，妥善处理四川国龙金属等15家企业欠费问题;与天翔环境等5家企业签订为期一年的《缓缴社保费协议》，累计涉及缓缴金额1812万左右，缓缴期不加收滞纳金，参保职工各项社保待遇不受影响。截止4月底，全区城镇“五险”参保总规模达525025人次，城乡居民养老保险参保率达95%以上，全区各项基金收入4.52亿元(扣除城乡医疗，大病补充)，基金支出1.71亿元(扣除城职医疗，城乡医疗，大病补充，生育)。</w:t>
      </w:r>
    </w:p>
    <w:p>
      <w:pPr>
        <w:ind w:left="0" w:right="0" w:firstLine="560"/>
        <w:spacing w:before="450" w:after="450" w:line="312" w:lineRule="auto"/>
      </w:pPr>
      <w:r>
        <w:rPr>
          <w:rFonts w:ascii="宋体" w:hAnsi="宋体" w:eastAsia="宋体" w:cs="宋体"/>
          <w:color w:val="000"/>
          <w:sz w:val="28"/>
          <w:szCs w:val="28"/>
        </w:rPr>
        <w:t xml:space="preserve">　　&gt;(三)立足创新驱动，人事人才工作有力提升。一是启动2024年引才活动，赴香港、济南、乌鲁木齐等“双一流”高校，累计招聘6次，已与51名优秀紧缺急需优秀应届毕业研究生签订就业协议书。启动2024年上半年面向社会公开招聘事业单位人员工作，截止目前，我区面向社会公开招聘中小学教师已完成笔试工作，共有109人进入面试;面向社会公开引进在职优秀教师，通过面试15人，现已进入考察阶段;赴四川大学、西南交通大学、四川农业大学定向考核招募“一村(社区)一名大学生”志愿者，20人达成初步意向，其中研究生5人。&gt;二是做好机构改革期间人员转隶工作，截止目前已办理159名机关事业单位工作人员转隶手续;全面启动全区事业单位岗位设置工作，目前已完成42家事业单位岗位设置。&gt;三是继续推进园区干部人事制度改革。1月份召开2024年度园区干部人事制度改革领导小组第一次会议，审议通过了园区总量核定办法、各园区绩效考核和薪酬分配办法等管理制度;指导园区做好2024年度面向社会公开选聘人员工作;完成2024年度各园区绩效总量核定工作。&gt;四是完成全区6000余名机关事业单位工作人员工资正常晋升工作;按时足额兑现了2024年度机关事业单位工作人员应休未休假报酬和退休人员一次性生活补助。&gt;五是积极推进全民技能提升计划，开展失保金、劳务品牌等就业技能培训624人;受理职业技能提升1614人，落实补贴282.7万元。</w:t>
      </w:r>
    </w:p>
    <w:p>
      <w:pPr>
        <w:ind w:left="0" w:right="0" w:firstLine="560"/>
        <w:spacing w:before="450" w:after="450" w:line="312" w:lineRule="auto"/>
      </w:pPr>
      <w:r>
        <w:rPr>
          <w:rFonts w:ascii="宋体" w:hAnsi="宋体" w:eastAsia="宋体" w:cs="宋体"/>
          <w:color w:val="000"/>
          <w:sz w:val="28"/>
          <w:szCs w:val="28"/>
        </w:rPr>
        <w:t xml:space="preserve">　&gt;　(四)立足预防调解，劳动关系保持和谐稳定。一是全区一季度城镇居民人均可支配收入达12136元，同比增长8.3%;二季度预计增长8.2%。&gt;二是联合港管委在自贸大厦举办了“构建大港区和谐劳动关系助推国际化一流化营商环境”主题沙龙，同时，在各乡镇(街道)、园区管委会开展现场宣传活动;采取上门服务的形式，到区内50家企业，解决在人才引进、社保补贴、灵活用工等方面存在的问题，助推国际化一流营商环境建设。&gt;三是深化国有企业负责人薪酬制度改革工作领导小组召开四次会议，会议讨论并通过了《XX区2024年度区属国有企业在岗职工工资平均工资审核认定方案》，已上报XX市深化国有企业负责人薪酬制度改革工作领导小组办公室等待审核认定。&gt;四是加强劳动保障监察执法力度，将日常巡查纳入重要工作内容;对我区中介机构及人力资源市场进行了一次“双随机”检查，切实加大执法力度;加大建筑行业农民工工资清欠力度，加强沟通协调，建立起有效的分工协作联动机制;圆满完成国务院2024年度保障农民工工资支付考核迎检工作;截至目前，共受理劳动保障举报投诉案件277件，涉及劳动者122人，为劳动者追索工资待遇80万元。&gt;五是坚持遵循合法、公正、及时、着重调解的原则，截至目前，共处理劳动争议案件416件，结案率达95%，共为劳动者追索劳动报酬、经济补偿金等费用共计2343余万元;妥善处理四川升达林产工业集团有限公司及其子公司因法定代表人变更、股权转让问题，多次爆发出的维权事件，涉及人员355人，涉案金额达2200余万元，区委区政府高度重视，成立了由人社部门牵头，法院、政法(维稳)、公安、信访、管委会等部门配合的四川升达林产欠薪案件协调工作领导小组，全力化解升达集团欠薪案件，目前，均已结案，受到了维权群众的一致好评。</w:t>
      </w:r>
    </w:p>
    <w:p>
      <w:pPr>
        <w:ind w:left="0" w:right="0" w:firstLine="560"/>
        <w:spacing w:before="450" w:after="450" w:line="312" w:lineRule="auto"/>
      </w:pPr>
      <w:r>
        <w:rPr>
          <w:rFonts w:ascii="宋体" w:hAnsi="宋体" w:eastAsia="宋体" w:cs="宋体"/>
          <w:color w:val="000"/>
          <w:sz w:val="28"/>
          <w:szCs w:val="28"/>
        </w:rPr>
        <w:t xml:space="preserve">　　&gt;二、2024年下半年工作安排</w:t>
      </w:r>
    </w:p>
    <w:p>
      <w:pPr>
        <w:ind w:left="0" w:right="0" w:firstLine="560"/>
        <w:spacing w:before="450" w:after="450" w:line="312" w:lineRule="auto"/>
      </w:pPr>
      <w:r>
        <w:rPr>
          <w:rFonts w:ascii="宋体" w:hAnsi="宋体" w:eastAsia="宋体" w:cs="宋体"/>
          <w:color w:val="000"/>
          <w:sz w:val="28"/>
          <w:szCs w:val="28"/>
        </w:rPr>
        <w:t xml:space="preserve">&gt;　　(一)突出重点，狠抓就业创业服务。一是持续做好企业用工保障行动、重点群体就业促进行动、农民工服务保障行动、“创业天府”行动，继续组织企业参加2024“蓉漂人才日”青年人才特大型招聘会、高校毕业生服务月等系列招聘活动。&gt;二是做好高校毕业创业项目的跟踪服务，积极兑现创业补贴、创业吸纳就业奖励。强化创业担保贷款政策宣传，收集意向性项目并促进政策落实，充分发挥创业担保贷款对创业的助推作用。联合四川建筑职业技术学院XX校区、XX市XX区再创职业培训学校，继续开展在校大学生SYB创业培训及返乡农民工创业培训。&gt;三是加强对就业困难人员的就业援助，形成动态长效帮扶机制，统筹推进高校毕业生、返乡农民工、下岗失业人员的等重点群体就业创业;做好援企稳岗“护航行动”政策落实，充分发挥失业保险“保生活、防失业、促就业”功能。&gt;四是全面推进全民技能提升工程，积极落实就业技能培训补贴和技能提升补贴，开展区级技能大师工作室的评审认定工作。&gt;五是建立招商签约项目落地用工联动机制，主动对接重大项目联系人，对新签约落地项目实施常态化跟踪服务;建立企业用工调剂机制，搭建好区级用工服务平台，促进人力资源协同产业发展。</w:t>
      </w:r>
    </w:p>
    <w:p>
      <w:pPr>
        <w:ind w:left="0" w:right="0" w:firstLine="560"/>
        <w:spacing w:before="450" w:after="450" w:line="312" w:lineRule="auto"/>
      </w:pPr>
      <w:r>
        <w:rPr>
          <w:rFonts w:ascii="宋体" w:hAnsi="宋体" w:eastAsia="宋体" w:cs="宋体"/>
          <w:color w:val="000"/>
          <w:sz w:val="28"/>
          <w:szCs w:val="28"/>
        </w:rPr>
        <w:t xml:space="preserve">　　&gt;(二)多措并举，做好社会保障工作。一是持续推进社保经办管理服务现代治理体系建设，深化部门数据共享，整体提升社保业务“网上经办”和“自助服务”水平，规范统一基层平台社保经办服务项目和标准，探索搭建社保服务站、点，全力打造“15分钟社保服务圈”;配合区财政局，积极做好惠民惠农补贴资金社会保障卡“一卡通”发放前期工作&gt;。二是稳妥做好被征地农民社保参保工作，加强对被征地农民社保问题的梳理，加强与财政、规划与自然资源等相关部门的沟通协作，积极请示汇报，进一步化解社保历史遗留问题;认真研学省、市被征地农民参加社会保险新政策，加强业务培训和政策宣传，确保被征地农民养老保障政策落地落实。&gt;三是持续开展社保精准扶贫工作。协调民政、财政等部门建立完善社保扶贫数据库，强化贫困人员参保缴费情况动态管理和数据比对，落实建档立卡未标注脱贫人口、低保对象等困难群体城乡居民养老保险费代缴政策，确保符合条件的贫困人员养老保险全覆盖。</w:t>
      </w:r>
    </w:p>
    <w:p>
      <w:pPr>
        <w:ind w:left="0" w:right="0" w:firstLine="560"/>
        <w:spacing w:before="450" w:after="450" w:line="312" w:lineRule="auto"/>
      </w:pPr>
      <w:r>
        <w:rPr>
          <w:rFonts w:ascii="宋体" w:hAnsi="宋体" w:eastAsia="宋体" w:cs="宋体"/>
          <w:color w:val="000"/>
          <w:sz w:val="28"/>
          <w:szCs w:val="28"/>
        </w:rPr>
        <w:t xml:space="preserve">　　&gt;(三)搭建平台，孵化优良引育环境。一是拓宽合作高校范围，持续加强与电子科技大学等现有高校“人才引进工作站”合作;聚焦国际化专业化干部队伍建设需求，集中引进储备国际贸易、国际金融、供应链物流等紧缺急需专业人才;通过面向社会公开招募的方式招募服务基层项目志愿者。&gt;二是做好机构改革后续相关工作，督促相关单位完成人员转隶工作。&gt;三是建立健全事业单位岗位管理制度体系，积极用好市上对我区事业单位岗位设置的政策倾斜，进一步优化我区事业单位岗位结构比例，力争增加七级管理岗位150个，预计6月底前完成全区200余家事业单位岗位设置工作;积极建立健全事业单位岗位竞聘管理制度，坚持“能者上、庸者下、平者让”的选人用人原则，切实规范事业单位岗位聘用工作;会同区委编办，积极统筹全区编制、岗位等人力资源，形成全区人力资源一盘棋;积极指导事业单位完善内部人事管理制度，坚持制度管人、科学用人;积极推行机关事业单位双向选择制度，通过配套建立灵活自主的目标绩效奖励分配制度。&gt;四是深化事业单位工资制度改革。继续完善符合事业单位特点、体现岗位绩效和分级分类管理的收入分配制度，全面推进公立医院薪酬制度改革。&gt;五是继续推进园区干部人事制度改革。进一步完善园区绩效考核、收入分配制度，最大限度激发园区人才的干事创业热情。</w:t>
      </w:r>
    </w:p>
    <w:p>
      <w:pPr>
        <w:ind w:left="0" w:right="0" w:firstLine="560"/>
        <w:spacing w:before="450" w:after="450" w:line="312" w:lineRule="auto"/>
      </w:pPr>
      <w:r>
        <w:rPr>
          <w:rFonts w:ascii="宋体" w:hAnsi="宋体" w:eastAsia="宋体" w:cs="宋体"/>
          <w:color w:val="000"/>
          <w:sz w:val="28"/>
          <w:szCs w:val="28"/>
        </w:rPr>
        <w:t xml:space="preserve">&gt;　　(四)加强调处，构建和谐劳动关系。一是夯实城镇居民收入调查工作，强化对乡镇统计员、辅助调查员的培训，提升业务技能，加强部门、乡镇(街道)、社区和辅助调查员之间的沟通协调，形成工作合力。&gt;二是开展改革国有企业工资决定机制相关工作，建立与劳动力市场基本适应，与国有企业经济效益和劳动生产率挂钩的工资决定和正常增长机制，进一步激发国有企业创造力和提高市场竞争力。&gt;三是指导企业开展薪酬，审核企业上报数据，全面完成企业薪酬调查工作任务&gt;。四是进一步完善劳动者工资支付预警告知和跟踪督查制度，强化部门协调沟通，畅通行政执法与刑事司法的案件移送通道;积极建立健全我区“黑名单”制度，将存在拖欠农民工工资行为的企业或个人拉入“黑名单”，使失信企业和个人一处违法，处处受限。&gt;五是坚持“强化仲裁调解、提高办案水平、完善基层平台、和谐劳动关系”的工作主线，进一步提升办案质量和水平，全力做好调解仲裁工作，努力维护群众合法权利，促进XX区劳动关系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2025-04-04T21:38:39+08:00</dcterms:created>
  <dcterms:modified xsi:type="dcterms:W3CDTF">2025-04-04T21:38:39+08:00</dcterms:modified>
</cp:coreProperties>
</file>

<file path=docProps/custom.xml><?xml version="1.0" encoding="utf-8"?>
<Properties xmlns="http://schemas.openxmlformats.org/officeDocument/2006/custom-properties" xmlns:vt="http://schemas.openxmlformats.org/officeDocument/2006/docPropsVTypes"/>
</file>