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保险公司下半年工作总结3000字</w:t>
      </w:r>
      <w:bookmarkEnd w:id="1"/>
    </w:p>
    <w:p>
      <w:pPr>
        <w:jc w:val="center"/>
        <w:spacing w:before="0" w:after="450"/>
      </w:pPr>
      <w:r>
        <w:rPr>
          <w:rFonts w:ascii="Arial" w:hAnsi="Arial" w:eastAsia="Arial" w:cs="Arial"/>
          <w:color w:val="999999"/>
          <w:sz w:val="20"/>
          <w:szCs w:val="20"/>
        </w:rPr>
        <w:t xml:space="preserve">来源：网络  作者：紫芸轻舞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下半年，在全州系统全体员工的共同努力下，一季度实现了“开门红”，取得了“零点行动——奔向20XX”竞赛活动的初步胜利，我司根据省公司“阳光行动，鏖战夏季”的安排部署，制订了 20XX年半年来业务竞赛企划案，再次吹响“阳光行动，鏖战夏季”竞赛...</w:t>
      </w:r>
    </w:p>
    <w:p>
      <w:pPr>
        <w:ind w:left="0" w:right="0" w:firstLine="560"/>
        <w:spacing w:before="450" w:after="450" w:line="312" w:lineRule="auto"/>
      </w:pPr>
      <w:r>
        <w:rPr>
          <w:rFonts w:ascii="宋体" w:hAnsi="宋体" w:eastAsia="宋体" w:cs="宋体"/>
          <w:color w:val="000"/>
          <w:sz w:val="28"/>
          <w:szCs w:val="28"/>
        </w:rPr>
        <w:t xml:space="preserve">下半年，在全州系统全体员工的共同努力下，一季度实现了“开门红”，取得了“零点行动——奔向20XX”竞赛活动的初步胜利，我司根据省公司“阳光行动，鏖战夏季”的安排部署，制订了 20XX年半年来业务竞赛企划案，再次吹响“阳光行动，鏖战夏季”竞赛活动的号角，将我公司业务发展的战场向纵深方向推进。我们将17个经营单位分成五个军团，州公司5个党委成员分别担任军团司令，带领相关部门编入各个军团，开展业务竞赛。</w:t>
      </w:r>
    </w:p>
    <w:p>
      <w:pPr>
        <w:ind w:left="0" w:right="0" w:firstLine="560"/>
        <w:spacing w:before="450" w:after="450" w:line="312" w:lineRule="auto"/>
      </w:pPr>
      <w:r>
        <w:rPr>
          <w:rFonts w:ascii="宋体" w:hAnsi="宋体" w:eastAsia="宋体" w:cs="宋体"/>
          <w:color w:val="000"/>
          <w:sz w:val="28"/>
          <w:szCs w:val="28"/>
        </w:rPr>
        <w:t xml:space="preserve">　　回顾半年来的工作历程,我们是有喜有忧,但总体来看是喜大于忧。喜在我们面对股份制改造后新的形势，广大员工的思想观念得到根本的转变;喜在各级公司面对激烈的市场竞争，业务拓展能力不断增强，企业的核心竞争力不断得到提升;喜在我们大部分公司团队建设进一步加强，团队经营有了新的起色;喜在我们全州系统业务结构调整取得显著成效，展现出良好的发展前景;喜在多年来困扰我司的短险赔付率居高不下的难题得以解决，经济效益明显好转;喜在我们全州大部分城乡呈现出诱人的市场前景，业务发展势头强劲。忧的是中介保险业务没有大的突破，首年新单保费负增长;忧的是增员难的“瓶颈”没有很好解决，大多数支公司的代理人队伍规模小，与市场的需求极不相适应;忧的是基础管理薄弱，“两规”落实不到位，相当一部分个人代理人的活动量不足;忧的是干部队伍建设滞后，个别支公司经理的观念没有大的转变，思路不清，干劲不足，业务发展没有突破性的进展。这些“喜”和“忧”反映了我们上半工作的基本特点。</w:t>
      </w:r>
    </w:p>
    <w:p>
      <w:pPr>
        <w:ind w:left="0" w:right="0" w:firstLine="560"/>
        <w:spacing w:before="450" w:after="450" w:line="312" w:lineRule="auto"/>
      </w:pPr>
      <w:r>
        <w:rPr>
          <w:rFonts w:ascii="宋体" w:hAnsi="宋体" w:eastAsia="宋体" w:cs="宋体"/>
          <w:color w:val="000"/>
          <w:sz w:val="28"/>
          <w:szCs w:val="28"/>
        </w:rPr>
        <w:t xml:space="preserve">　　一、经营形势分析</w:t>
      </w:r>
    </w:p>
    <w:p>
      <w:pPr>
        <w:ind w:left="0" w:right="0" w:firstLine="560"/>
        <w:spacing w:before="450" w:after="450" w:line="312" w:lineRule="auto"/>
      </w:pPr>
      <w:r>
        <w:rPr>
          <w:rFonts w:ascii="宋体" w:hAnsi="宋体" w:eastAsia="宋体" w:cs="宋体"/>
          <w:color w:val="000"/>
          <w:sz w:val="28"/>
          <w:szCs w:val="28"/>
        </w:rPr>
        <w:t xml:space="preserve">　　下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　　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　　20XX年，我公司个人寿险期交和短险业务的发展及短险业务赔付情况较上年同期有了很大的改观，但也还存在如下问题：一是业务收入总量，特别是寿险及长期健康险首年保费规模还很小，全州仅完成1982.70万，与全年5470万元的计划相比，差距还很大;二是个人寿险期交结构不尽合理。个人寿险期交业务中“两康”的比重仅为25.64%,而“鸿鑫”的比重高达64.85%;三是各支公司的业务发展不平衡。除凯里支公司和分公司营销部外， 15个支公司中股份公司总量在200万元以上的仅4个支公司，其中黄平支公司226.7万元、镇远支公司238.9万元、岑巩支公司239万元、天柱支公司265万元;四是半年来意外险业务发展明显放慢，半年来仅收入131.8万元。意外险收入极不平衡，保费收入在5万元以下的支公司就有5个， 10万元以下的支公司有3个，最少的支公司意外险收入仅2.42万元;五是部分支公司的高赔付率应该引起重视。分公司营销部赔付率达94.45%，岑巩支公司达92%，镇远支公司达70.08%等。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　　进入半年来以来，业务发展速度减缓，且呈下滑趋势，个人寿险期交保费仅完成383万元，完成自编计划的75.4%。按7个险种计算，仅有麻江和锦屏支公司完成半年来计划任务，其余支公司均未完成半年来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2025-04-04T23:30:53+08:00</dcterms:created>
  <dcterms:modified xsi:type="dcterms:W3CDTF">2025-04-04T23:30:53+08:00</dcterms:modified>
</cp:coreProperties>
</file>

<file path=docProps/custom.xml><?xml version="1.0" encoding="utf-8"?>
<Properties xmlns="http://schemas.openxmlformats.org/officeDocument/2006/custom-properties" xmlns:vt="http://schemas.openxmlformats.org/officeDocument/2006/docPropsVTypes"/>
</file>