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2024年半年税总结三篇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总结，汉语词语，读音为zǒngjié，意思是总地归结。今天为大家精心准备了2024年半年税总结三篇，希望对大家有所帮助!2024年半年税总结1　　在市局党组和县委、县政府的正确领导下，我们以邓小平理论和“三个代表”重要思想为指导，深入学...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总结，汉语词语，读音为zǒngjié，意思是总地归结。今天为大家精心准备了2024年半年税总结三篇，希望对大家有所帮助!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2024年半年税总结2</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2024年半年税总结3</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