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2024年业务员每月工作总结(5篇)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每月工作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业务员每月工作总结二</w:t>
      </w:r>
    </w:p>
    <w:p>
      <w:pPr>
        <w:ind w:left="0" w:right="0" w:firstLine="560"/>
        <w:spacing w:before="450" w:after="450" w:line="312" w:lineRule="auto"/>
      </w:pPr>
      <w:r>
        <w:rPr>
          <w:rFonts w:ascii="宋体" w:hAnsi="宋体" w:eastAsia="宋体" w:cs="宋体"/>
          <w:color w:val="000"/>
          <w:sz w:val="28"/>
          <w:szCs w:val="28"/>
        </w:rPr>
        <w:t xml:space="preserve">20_年对于钢贸流通企业来说是困难多、倍受考验的一年。严峻的经济形势、艰难的行业困局对钢铁产业链产生较大冲击，钢贸企业在商海无涯苦作舟的环境中咬紧牙关，克服重重难关，终于在20_年末看到希望，同时对20_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历经了20_年的阵痛后，随着当前经济的回暖，市场运营环境虽逐步转好，但挑战依然存在，在希望的20_年，我们还需注意以下2个方面，罗列如下：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1.虽然当前国内经济正逐步复苏，但回稳的基础仍不牢固。与此同时，新一代领带上台展现出的新政风，透露出20_年是经济增长的转换期，这对钢贸企业而言即有风险也是机遇，需做好准备，迎接挑战;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业务员每月工作总结三</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业务员每月工作总结四</w:t>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业务员每月工作总结五</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