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一年级期末班主任工作总结下学期(五篇)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期末班主任工作总结下学期一一、经过一个学期的了解，对学生的情景也熟悉了，也仅有互相了解，沟通才能更好的管理班级，从期初到期中到期末，了解到熟悉，明白学生的行为，习惯，品德，成绩，对我的工作也容易了，学生也了解了我，彼此的了解得到了我们...</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一年级期末班主任工作总结下学期一</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一年级期末班主任工作总结下学期二</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近三年来，我服从学校安排，分别担任中心校三年级、四年级、五年级班主任。首先我热爱每一个学生，关爱他们的成长，尽心尽力用我的学识和我的品格，言传身教去感染他们，教会他们如何学习，如何生活，如何做人，下面将我三年来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也可以让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每学期我都要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二楼，包管区却远在校门口，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了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近三年的班级工作中，我带动学生积极主动地参加学校举行的一切活动，我班曾于20__年参加学校举行的歌咏比赛中荣获全校第一。20__年参加小学生艺术节活动中荣获全乡第一，获全县三等奖。20__年我又组织学生参加了全县举行的地震知识竞赛中荣获二等奖。在这三年中，我班学生还参加了无数次的绘画、演讲、写作、文艺表演及冬运会，也分别拿到了许多奖。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一年级期末班主任工作总结下学期四</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一年级期末班主任工作总结下学期五</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