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行政是指由国家行政机关对于不属于审判、检察工作以及立法中的其他法律的具体应用问题以及自己依法制定的法规进行的解释。今天为大家精心准备了行政部工作总结，希望对大家有所帮助!　　行政部工作总结　　20xx年，在集团公司的正确领导及大力支持下，在...</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行政是指由国家行政机关对于不属于审判、检察工作以及立法中的其他法律的具体应用问题以及自己依法制定的法规进行的解释。今天为大家精心准备了行政部工作总结，希望对大家有所帮助![_TAG_h2]　　行政部工作总结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　　&gt;一、转变体现为以下3个方面：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&gt;二、存在的困难与不足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　　&gt;三、改进措施及下一步工作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&gt;四、小结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个月，我的收获和感触都很多，任职以来，我努力适应工作环境和前台这个崭新的工作岗位，认真地履行了自己的工作职责，较好地完成了各项工作任务。现将四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四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