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教师年度师德总结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目录   总结一：教师年度师德总结撒播阳光到别人心中，总得自己心中有阳光。——罗曼·罗兰本“学高为师，身正为范”，我深切体会到作为新时期的人民教师，肩负着培养有理想、有道德、有文化、有纪律的一代新人的光荣使命。我们每个教师的师德就如同“榜样...</w:t>
      </w:r>
    </w:p>
    <w:p>
      <w:pPr>
        <w:ind w:left="0" w:right="0" w:firstLine="560"/>
        <w:spacing w:before="450" w:after="450" w:line="312" w:lineRule="auto"/>
      </w:pPr>
      <w:r>
        <w:rPr>
          <w:rFonts w:ascii="宋体" w:hAnsi="宋体" w:eastAsia="宋体" w:cs="宋体"/>
          <w:color w:val="000"/>
          <w:sz w:val="28"/>
          <w:szCs w:val="28"/>
        </w:rPr>
        <w:t xml:space="preserve">目录   总结一：教师年度师德总结</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总结二：教师年度师德总结</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总结三：教师年度师德总结</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总结四：教师年度师德总结</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总结五：教师年度师德总结</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 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