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202_公司财务部工作总结ppt</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　　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成本职工作的同时，发挥合作精力，踊跃配合总经办顺利实现了202_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　　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人生能有几次博，在今后的日子里，我们要化思维为举动，用本人的勤奋与智慧刻画将来的蓝图。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