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银行意识形态工作总结三篇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银行意识形态工作总结三...</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银行意识形态工作总结三篇，希望对大家有所帮助![_TAG_h2]　　银行意识形态工作总结一篇</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　　银行意识形态工作总结二篇</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560"/>
        <w:spacing w:before="450" w:after="450" w:line="312" w:lineRule="auto"/>
      </w:pPr>
      <w:r>
        <w:rPr>
          <w:rFonts w:ascii="黑体" w:hAnsi="黑体" w:eastAsia="黑体" w:cs="黑体"/>
          <w:color w:val="000000"/>
          <w:sz w:val="36"/>
          <w:szCs w:val="36"/>
          <w:b w:val="1"/>
          <w:bCs w:val="1"/>
        </w:rPr>
        <w:t xml:space="preserve">　　银行意识形态工作总结三篇</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2025-04-27T16:37:45+08:00</dcterms:created>
  <dcterms:modified xsi:type="dcterms:W3CDTF">2025-04-27T16:37:45+08:00</dcterms:modified>
</cp:coreProperties>
</file>

<file path=docProps/custom.xml><?xml version="1.0" encoding="utf-8"?>
<Properties xmlns="http://schemas.openxmlformats.org/officeDocument/2006/custom-properties" xmlns:vt="http://schemas.openxmlformats.org/officeDocument/2006/docPropsVTypes"/>
</file>