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财务总监工作总结报告_2023最新财务总监工作总结</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任职期间的不足之处：还不能很好的把握全局;财务监督执行财经法规的力度还不够强;人员配置还不充足。202_最新财务总监工作总结如下，快随本站小编一起来了解下。　　202_最新财务总监工作总结　　20xx年7月9日盈众传媒公司正式成立，在总...</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任职期间的不足之处：还不能很好的把握全局;财务监督执行财经法规的力度还不够强;人员配置还不充足。202_最新财务总监工作总结如下，快随本站小编一起来了解下。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202_最新财务总监工作总结</w:t>
      </w:r>
    </w:p>
    <w:p>
      <w:pPr>
        <w:ind w:left="0" w:right="0" w:firstLine="560"/>
        <w:spacing w:before="450" w:after="450" w:line="312" w:lineRule="auto"/>
      </w:pPr>
      <w:r>
        <w:rPr>
          <w:rFonts w:ascii="宋体" w:hAnsi="宋体" w:eastAsia="宋体" w:cs="宋体"/>
          <w:color w:val="000"/>
          <w:sz w:val="28"/>
          <w:szCs w:val="28"/>
        </w:rPr>
        <w:t xml:space="preserve">　　20xx年7月9日盈众传媒公司正式成立，在总经理及其他高管的认可下任。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　　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　　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　　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　　以上述职如有疏漏和不当之处，恳请各位领导及广大员工批评指正。谢谢!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