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中共银行党委党建工作总结</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中共银行党委党建工作总结，希望能帮助到大家! [_TAG_h2]　　中共银行党委党建工作总结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